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3E9" w:rsidRDefault="000003E9" w:rsidP="004E5EB0">
      <w:pPr>
        <w:pStyle w:val="Nadpis1"/>
        <w:numPr>
          <w:ilvl w:val="0"/>
          <w:numId w:val="0"/>
        </w:numPr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  <w:proofErr w:type="spellStart"/>
      <w:r w:rsidR="004E5EB0">
        <w:rPr>
          <w:bdr w:val="nil"/>
        </w:rPr>
        <w:t>Ortoticko</w:t>
      </w:r>
      <w:proofErr w:type="spellEnd"/>
      <w:r w:rsidR="004E5EB0">
        <w:rPr>
          <w:bdr w:val="nil"/>
        </w:rPr>
        <w:t xml:space="preserve">-protetický technik </w:t>
      </w:r>
      <w:r w:rsidR="00056DC1">
        <w:rPr>
          <w:bdr w:val="nil"/>
        </w:rPr>
        <w:t>(2019) – 1. a 2. ročník</w:t>
      </w:r>
    </w:p>
    <w:p w:rsidR="000003E9" w:rsidRDefault="000003E9" w:rsidP="00124DB4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2110"/>
        <w:gridCol w:w="646"/>
        <w:gridCol w:w="646"/>
        <w:gridCol w:w="646"/>
        <w:gridCol w:w="646"/>
        <w:gridCol w:w="1844"/>
      </w:tblGrid>
      <w:tr w:rsidR="000003E9" w:rsidTr="00D5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0003E9" w:rsidTr="00D5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003E9" w:rsidRDefault="000003E9" w:rsidP="00D53D7D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003E9" w:rsidRDefault="000003E9" w:rsidP="00D53D7D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003E9" w:rsidRDefault="000003E9" w:rsidP="00D53D7D"/>
        </w:tc>
      </w:tr>
      <w:tr w:rsidR="000003E9" w:rsidTr="00D53D7D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0003E9" w:rsidTr="00D53D7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0003E9" w:rsidTr="00D53D7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Pr="00784E7F" w:rsidRDefault="000003E9" w:rsidP="00D53D7D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0003E9" w:rsidTr="00D53D7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003E9" w:rsidTr="00D53D7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7+5</w:t>
            </w:r>
          </w:p>
        </w:tc>
      </w:tr>
      <w:tr w:rsidR="000003E9" w:rsidTr="00D53D7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0003E9" w:rsidTr="00D53D7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kreslení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1+7</w:t>
            </w:r>
          </w:p>
        </w:tc>
      </w:tr>
      <w:tr w:rsidR="000003E9" w:rsidTr="00D53D7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0003E9" w:rsidTr="00D53D7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s klientem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Ortotika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Protetika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kineziologie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Vybrané klinické obory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fyzioterapie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biomechaniky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Pr="00D03D36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 w:rsidRPr="00D03D36">
              <w:rPr>
                <w:rFonts w:ascii="Calibri" w:eastAsia="Calibri" w:hAnsi="Calibri" w:cs="Calibri"/>
                <w:bdr w:val="nil"/>
              </w:rPr>
              <w:t xml:space="preserve">Učební praxe (stavba </w:t>
            </w:r>
            <w:proofErr w:type="spellStart"/>
            <w:r w:rsidRPr="00D03D36">
              <w:rPr>
                <w:rFonts w:ascii="Calibri" w:eastAsia="Calibri" w:hAnsi="Calibri" w:cs="Calibri"/>
                <w:bdr w:val="nil"/>
              </w:rPr>
              <w:t>ortoticko</w:t>
            </w:r>
            <w:proofErr w:type="spellEnd"/>
            <w:r w:rsidRPr="00D03D36">
              <w:rPr>
                <w:rFonts w:ascii="Calibri" w:eastAsia="Calibri" w:hAnsi="Calibri" w:cs="Calibri"/>
                <w:bdr w:val="nil"/>
              </w:rPr>
              <w:t>-protetických pomůcek)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</w:tr>
      <w:tr w:rsidR="000003E9" w:rsidTr="00D53D7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Materiály a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0003E9" w:rsidTr="00D53D7D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3E9" w:rsidRDefault="000003E9" w:rsidP="00D53D7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108+27</w:t>
            </w:r>
          </w:p>
        </w:tc>
      </w:tr>
    </w:tbl>
    <w:p w:rsidR="000003E9" w:rsidRDefault="000003E9" w:rsidP="000003E9">
      <w:pPr>
        <w:rPr>
          <w:bdr w:val="nil"/>
        </w:rPr>
      </w:pPr>
      <w:r>
        <w:rPr>
          <w:bdr w:val="nil"/>
        </w:rPr>
        <w:t>   </w:t>
      </w:r>
    </w:p>
    <w:p w:rsidR="000003E9" w:rsidRPr="00784E7F" w:rsidRDefault="000003E9" w:rsidP="000003E9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lastRenderedPageBreak/>
        <w:t>Poznámky k učebnímu plánu</w:t>
      </w:r>
      <w:bookmarkEnd w:id="2"/>
    </w:p>
    <w:p w:rsidR="000003E9" w:rsidRDefault="000003E9" w:rsidP="000003E9">
      <w:pPr>
        <w:numPr>
          <w:ilvl w:val="0"/>
          <w:numId w:val="2"/>
        </w:numPr>
        <w:spacing w:before="240"/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Cizí jazyk – anglický jazyk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Dělení hodin ve vyučovacích předmětech je v pravomoci ředitele školy, který musí postupovat v souladu s předpisy stanovenými MŠMT ČR. 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Při organizování adaptačního pobytu a lyžařského kurzu postupuje vedení školy podle platných metodických pokynů MŠMT ČR. 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Maturitní zkoušky se připravují a organizují podle platné legislativy. 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Délka školního roku je v prvním až třetím ročníku čtyřicet týdnů. Vyučovací doba se využije podle níže uvedené tabulky.  </w:t>
      </w:r>
    </w:p>
    <w:p w:rsidR="000003E9" w:rsidRPr="00EA40E2" w:rsidRDefault="000003E9" w:rsidP="000003E9">
      <w:pPr>
        <w:numPr>
          <w:ilvl w:val="0"/>
          <w:numId w:val="2"/>
        </w:numPr>
        <w:rPr>
          <w:bdr w:val="nil"/>
        </w:rPr>
      </w:pPr>
      <w:r w:rsidRPr="00EA40E2">
        <w:rPr>
          <w:sz w:val="24"/>
          <w:bdr w:val="nil"/>
          <w:shd w:val="clear" w:color="auto" w:fill="FFFFFF"/>
        </w:rPr>
        <w:t xml:space="preserve">Předmět Učební praxe je zaměřen na stavbu </w:t>
      </w:r>
      <w:proofErr w:type="spellStart"/>
      <w:r w:rsidRPr="00EA40E2">
        <w:rPr>
          <w:sz w:val="24"/>
          <w:bdr w:val="nil"/>
          <w:shd w:val="clear" w:color="auto" w:fill="FFFFFF"/>
        </w:rPr>
        <w:t>ortoticko</w:t>
      </w:r>
      <w:proofErr w:type="spellEnd"/>
      <w:r w:rsidRPr="00EA40E2">
        <w:rPr>
          <w:sz w:val="24"/>
          <w:bdr w:val="nil"/>
          <w:shd w:val="clear" w:color="auto" w:fill="FFFFFF"/>
        </w:rPr>
        <w:t>-protetických pomůcek; probíhá na odborných pracovištích sociálních partnerů školy.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Výuka předmětu Komunikace s klientem probíhá ve 4. ročníku v anglickém jazyce na základě rozhodnutí MŠMT od 1. 9. 2018.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Minimální počet vyučovacích hodin za studium je 128, maximální 140. Minimální týdenní počet vyučovacích hodin v ročnících je 31, maximální 35 hodin (v souladu se školským zákonem). </w:t>
      </w:r>
    </w:p>
    <w:p w:rsidR="000003E9" w:rsidRDefault="000003E9" w:rsidP="000003E9">
      <w:pPr>
        <w:numPr>
          <w:ilvl w:val="0"/>
          <w:numId w:val="2"/>
        </w:numPr>
        <w:rPr>
          <w:bdr w:val="nil"/>
        </w:rPr>
      </w:pPr>
      <w:r>
        <w:rPr>
          <w:sz w:val="24"/>
          <w:bdr w:val="nil"/>
        </w:rPr>
        <w:t>Odborná praxe probíhá ve 2. a 3. ročníku ve smluvních organizacích  jako souvislá odborná praxe v rozsahu 2 týdnů.  </w:t>
      </w:r>
    </w:p>
    <w:p w:rsidR="000003E9" w:rsidRPr="00C41060" w:rsidRDefault="000003E9" w:rsidP="000003E9">
      <w:pPr>
        <w:numPr>
          <w:ilvl w:val="0"/>
          <w:numId w:val="2"/>
        </w:numPr>
        <w:spacing w:after="240"/>
        <w:rPr>
          <w:bdr w:val="nil"/>
        </w:rPr>
      </w:pPr>
      <w:r>
        <w:rPr>
          <w:sz w:val="24"/>
          <w:bdr w:val="nil"/>
        </w:rPr>
        <w:t xml:space="preserve">Odbornou praxi hodnotí učitel </w:t>
      </w:r>
      <w:r w:rsidRPr="00D03D36">
        <w:rPr>
          <w:sz w:val="24"/>
          <w:bdr w:val="nil"/>
        </w:rPr>
        <w:t xml:space="preserve">předmětu Učební praxe (stavba </w:t>
      </w:r>
      <w:proofErr w:type="spellStart"/>
      <w:r w:rsidR="00124DB4">
        <w:rPr>
          <w:sz w:val="24"/>
          <w:bdr w:val="nil"/>
        </w:rPr>
        <w:t>ortoticko</w:t>
      </w:r>
      <w:proofErr w:type="spellEnd"/>
      <w:r w:rsidR="00124DB4">
        <w:rPr>
          <w:sz w:val="24"/>
          <w:bdr w:val="nil"/>
        </w:rPr>
        <w:t>-protetických pomůcek)</w:t>
      </w:r>
      <w:r w:rsidRPr="00D03D36">
        <w:rPr>
          <w:sz w:val="24"/>
          <w:bdr w:val="nil"/>
        </w:rPr>
        <w:t xml:space="preserve">; hodnocení odborné praxe je součástí hodnocení předmětu Učební praxe (stavba </w:t>
      </w:r>
      <w:proofErr w:type="spellStart"/>
      <w:r w:rsidRPr="00D03D36">
        <w:rPr>
          <w:sz w:val="24"/>
          <w:bdr w:val="nil"/>
        </w:rPr>
        <w:t>ortoticko</w:t>
      </w:r>
      <w:proofErr w:type="spellEnd"/>
      <w:r w:rsidRPr="00D03D36">
        <w:rPr>
          <w:sz w:val="24"/>
          <w:bdr w:val="nil"/>
        </w:rPr>
        <w:t>-protetických pomůcek). </w:t>
      </w:r>
    </w:p>
    <w:p w:rsidR="00C41060" w:rsidRDefault="00C41060" w:rsidP="00C41060">
      <w:pPr>
        <w:spacing w:after="240"/>
        <w:rPr>
          <w:sz w:val="24"/>
          <w:bdr w:val="nil"/>
        </w:rPr>
      </w:pPr>
    </w:p>
    <w:p w:rsidR="00C41060" w:rsidRDefault="00C41060" w:rsidP="00C41060">
      <w:pPr>
        <w:pStyle w:val="Nadpis1"/>
        <w:numPr>
          <w:ilvl w:val="0"/>
          <w:numId w:val="0"/>
        </w:numPr>
        <w:rPr>
          <w:bdr w:val="nil"/>
        </w:rPr>
      </w:pPr>
      <w:r>
        <w:rPr>
          <w:bdr w:val="nil"/>
        </w:rPr>
        <w:lastRenderedPageBreak/>
        <w:t>Učební plán </w:t>
      </w:r>
      <w:proofErr w:type="spellStart"/>
      <w:r>
        <w:rPr>
          <w:bdr w:val="nil"/>
        </w:rPr>
        <w:t>Ortoticko</w:t>
      </w:r>
      <w:proofErr w:type="spellEnd"/>
      <w:r>
        <w:rPr>
          <w:bdr w:val="nil"/>
        </w:rPr>
        <w:t xml:space="preserve">-protetický technik </w:t>
      </w:r>
      <w:proofErr w:type="gramStart"/>
      <w:r>
        <w:rPr>
          <w:bdr w:val="nil"/>
        </w:rPr>
        <w:t>2018 – 22</w:t>
      </w:r>
      <w:proofErr w:type="gramEnd"/>
      <w:r>
        <w:rPr>
          <w:bdr w:val="nil"/>
        </w:rPr>
        <w:t xml:space="preserve"> (3. roč.)</w:t>
      </w:r>
    </w:p>
    <w:p w:rsidR="00C41060" w:rsidRDefault="00C41060" w:rsidP="00C41060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r>
        <w:rPr>
          <w:bdr w:val="nil"/>
        </w:rPr>
        <w:t xml:space="preserve">Týdenní </w:t>
      </w:r>
      <w:proofErr w:type="gramStart"/>
      <w:r>
        <w:rPr>
          <w:bdr w:val="nil"/>
        </w:rPr>
        <w:t>dotace - přehled</w:t>
      </w:r>
      <w:proofErr w:type="gramEnd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2110"/>
        <w:gridCol w:w="646"/>
        <w:gridCol w:w="646"/>
        <w:gridCol w:w="646"/>
        <w:gridCol w:w="646"/>
        <w:gridCol w:w="1844"/>
      </w:tblGrid>
      <w:tr w:rsidR="00C41060" w:rsidTr="0083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C41060" w:rsidTr="0083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41060" w:rsidRDefault="00C41060" w:rsidP="0083551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41060" w:rsidRDefault="00C41060" w:rsidP="0083551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41060" w:rsidRDefault="00C41060" w:rsidP="00835519"/>
        </w:tc>
      </w:tr>
      <w:tr w:rsidR="00C41060" w:rsidTr="00835519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C41060" w:rsidTr="0083551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C41060" w:rsidTr="0083551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jc w:val="center"/>
            </w:pPr>
            <w: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784E7F" w:rsidRDefault="00C41060" w:rsidP="0083551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C41060" w:rsidTr="0083551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C41060" w:rsidTr="0083551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7+5</w:t>
            </w:r>
          </w:p>
        </w:tc>
      </w:tr>
      <w:tr w:rsidR="00C41060" w:rsidTr="0083551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C41060" w:rsidTr="0083551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kreslení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1+7</w:t>
            </w:r>
          </w:p>
        </w:tc>
      </w:tr>
      <w:tr w:rsidR="00C41060" w:rsidTr="0083551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s klientem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Ortotika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Protetika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kineziologie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Vybrané klinické obory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fyzioterapie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biomechaniky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D03D36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 w:rsidRPr="00D03D36">
              <w:rPr>
                <w:rFonts w:ascii="Calibri" w:eastAsia="Calibri" w:hAnsi="Calibri" w:cs="Calibri"/>
                <w:bdr w:val="nil"/>
              </w:rPr>
              <w:t xml:space="preserve">Učební praxe (stavba </w:t>
            </w:r>
            <w:proofErr w:type="spellStart"/>
            <w:r w:rsidRPr="00D03D36">
              <w:rPr>
                <w:rFonts w:ascii="Calibri" w:eastAsia="Calibri" w:hAnsi="Calibri" w:cs="Calibri"/>
                <w:bdr w:val="nil"/>
              </w:rPr>
              <w:t>ortoticko</w:t>
            </w:r>
            <w:proofErr w:type="spellEnd"/>
            <w:r w:rsidRPr="00D03D36">
              <w:rPr>
                <w:rFonts w:ascii="Calibri" w:eastAsia="Calibri" w:hAnsi="Calibri" w:cs="Calibri"/>
                <w:bdr w:val="nil"/>
              </w:rPr>
              <w:t>-protetických pomůcek)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Materiály a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C41060" w:rsidTr="0083551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108+27</w:t>
            </w:r>
          </w:p>
        </w:tc>
      </w:tr>
    </w:tbl>
    <w:p w:rsidR="00C41060" w:rsidRDefault="00C41060" w:rsidP="00C41060">
      <w:pPr>
        <w:rPr>
          <w:bdr w:val="nil"/>
        </w:rPr>
      </w:pPr>
      <w:r>
        <w:rPr>
          <w:bdr w:val="nil"/>
        </w:rPr>
        <w:t>   </w:t>
      </w:r>
    </w:p>
    <w:p w:rsidR="00C41060" w:rsidRPr="00784E7F" w:rsidRDefault="00C41060" w:rsidP="00C41060">
      <w:pPr>
        <w:pStyle w:val="Nadpis3"/>
        <w:spacing w:before="281" w:after="281"/>
        <w:rPr>
          <w:bdr w:val="nil"/>
        </w:rPr>
      </w:pPr>
      <w:r>
        <w:rPr>
          <w:sz w:val="28"/>
          <w:szCs w:val="28"/>
          <w:bdr w:val="nil"/>
        </w:rPr>
        <w:lastRenderedPageBreak/>
        <w:t>Poznámky k učebnímu plánu</w:t>
      </w:r>
    </w:p>
    <w:p w:rsidR="00C41060" w:rsidRDefault="00C41060" w:rsidP="00C41060">
      <w:pPr>
        <w:numPr>
          <w:ilvl w:val="0"/>
          <w:numId w:val="2"/>
        </w:numPr>
        <w:spacing w:before="240"/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Cizí jazyk – anglický jazyk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Dělení hodin ve vyučovacích předmětech je v pravomoci ředitele školy, který musí postupovat v souladu s předpisy stanovenými MŠMT ČR. 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Při organizování adaptačního pobytu a lyžařského kurzu postupuje vedení školy podle platných metodických pokynů MŠMT ČR. 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Maturitní zkoušky se připravují a organizují podle platné legislativy. 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Délka školního roku je v prvním až třetím ročníku čtyřicet týdnů. Vyučovací doba se využije podle níže uvedené tabulky.  </w:t>
      </w:r>
    </w:p>
    <w:p w:rsidR="00C41060" w:rsidRPr="00EA40E2" w:rsidRDefault="00C41060" w:rsidP="00C41060">
      <w:pPr>
        <w:numPr>
          <w:ilvl w:val="0"/>
          <w:numId w:val="2"/>
        </w:numPr>
        <w:rPr>
          <w:bdr w:val="nil"/>
        </w:rPr>
      </w:pPr>
      <w:r w:rsidRPr="00EA40E2">
        <w:rPr>
          <w:sz w:val="24"/>
          <w:bdr w:val="nil"/>
          <w:shd w:val="clear" w:color="auto" w:fill="FFFFFF"/>
        </w:rPr>
        <w:t xml:space="preserve">Předmět Učební praxe je zaměřen na stavbu </w:t>
      </w:r>
      <w:proofErr w:type="spellStart"/>
      <w:r w:rsidRPr="00EA40E2">
        <w:rPr>
          <w:sz w:val="24"/>
          <w:bdr w:val="nil"/>
          <w:shd w:val="clear" w:color="auto" w:fill="FFFFFF"/>
        </w:rPr>
        <w:t>ortoticko</w:t>
      </w:r>
      <w:proofErr w:type="spellEnd"/>
      <w:r w:rsidRPr="00EA40E2">
        <w:rPr>
          <w:sz w:val="24"/>
          <w:bdr w:val="nil"/>
          <w:shd w:val="clear" w:color="auto" w:fill="FFFFFF"/>
        </w:rPr>
        <w:t>-protetických pomůcek; probíhá na odborných pracovištích sociálních partnerů školy.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Výuka předmětu Komunikace s klientem probíhá ve 4. ročníku v anglickém jazyce na základě rozhodnutí MŠMT od 1. 9. 2018.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color w:val="000000"/>
          <w:sz w:val="24"/>
          <w:bdr w:val="nil"/>
          <w:shd w:val="clear" w:color="auto" w:fill="FFFFFF"/>
        </w:rPr>
        <w:t>Minimální počet vyučovacích hodin za studium je 128, maximální 140. Minimální týdenní počet vyučovacích hodin v ročnících je 31, maximální 35 hodin (v souladu se školským zákonem). </w:t>
      </w:r>
    </w:p>
    <w:p w:rsidR="00C41060" w:rsidRDefault="00C41060" w:rsidP="00C41060">
      <w:pPr>
        <w:numPr>
          <w:ilvl w:val="0"/>
          <w:numId w:val="2"/>
        </w:numPr>
        <w:rPr>
          <w:bdr w:val="nil"/>
        </w:rPr>
      </w:pPr>
      <w:r>
        <w:rPr>
          <w:sz w:val="24"/>
          <w:bdr w:val="nil"/>
        </w:rPr>
        <w:t xml:space="preserve">Odborná praxe probíhá ve 2. a 3. ročníku ve smluvních </w:t>
      </w:r>
      <w:proofErr w:type="gramStart"/>
      <w:r>
        <w:rPr>
          <w:sz w:val="24"/>
          <w:bdr w:val="nil"/>
        </w:rPr>
        <w:t>organizacích  jako</w:t>
      </w:r>
      <w:proofErr w:type="gramEnd"/>
      <w:r>
        <w:rPr>
          <w:sz w:val="24"/>
          <w:bdr w:val="nil"/>
        </w:rPr>
        <w:t xml:space="preserve"> souvislá odborná praxe v rozsahu 2 týdnů.  </w:t>
      </w:r>
    </w:p>
    <w:p w:rsidR="00C41060" w:rsidRPr="00D03D36" w:rsidRDefault="00C41060" w:rsidP="00C41060">
      <w:pPr>
        <w:numPr>
          <w:ilvl w:val="0"/>
          <w:numId w:val="2"/>
        </w:numPr>
        <w:spacing w:after="240"/>
        <w:rPr>
          <w:bdr w:val="nil"/>
        </w:rPr>
      </w:pPr>
      <w:r>
        <w:rPr>
          <w:sz w:val="24"/>
          <w:bdr w:val="nil"/>
        </w:rPr>
        <w:t xml:space="preserve">Odbornou praxi hodnotí učitel </w:t>
      </w:r>
      <w:r w:rsidRPr="00D03D36">
        <w:rPr>
          <w:sz w:val="24"/>
          <w:bdr w:val="nil"/>
        </w:rPr>
        <w:t xml:space="preserve">předmětu Učební praxe (stavba </w:t>
      </w:r>
      <w:proofErr w:type="spellStart"/>
      <w:r>
        <w:rPr>
          <w:sz w:val="24"/>
          <w:bdr w:val="nil"/>
        </w:rPr>
        <w:t>ortoticko</w:t>
      </w:r>
      <w:proofErr w:type="spellEnd"/>
      <w:r>
        <w:rPr>
          <w:sz w:val="24"/>
          <w:bdr w:val="nil"/>
        </w:rPr>
        <w:t>-protetických pomůcek)</w:t>
      </w:r>
      <w:r w:rsidRPr="00D03D36">
        <w:rPr>
          <w:sz w:val="24"/>
          <w:bdr w:val="nil"/>
        </w:rPr>
        <w:t xml:space="preserve">; hodnocení odborné praxe je součástí hodnocení předmětu Učební praxe (stavba </w:t>
      </w:r>
      <w:proofErr w:type="spellStart"/>
      <w:r w:rsidRPr="00D03D36">
        <w:rPr>
          <w:sz w:val="24"/>
          <w:bdr w:val="nil"/>
        </w:rPr>
        <w:t>ortoticko</w:t>
      </w:r>
      <w:proofErr w:type="spellEnd"/>
      <w:r w:rsidRPr="00D03D36">
        <w:rPr>
          <w:sz w:val="24"/>
          <w:bdr w:val="nil"/>
        </w:rPr>
        <w:t>-protetických pomůcek). </w:t>
      </w:r>
    </w:p>
    <w:p w:rsidR="00C41060" w:rsidRDefault="00C41060" w:rsidP="00C41060">
      <w:pPr>
        <w:spacing w:after="240"/>
        <w:rPr>
          <w:bdr w:val="nil"/>
        </w:rPr>
      </w:pPr>
    </w:p>
    <w:p w:rsidR="00C41060" w:rsidRDefault="00C41060" w:rsidP="00C41060">
      <w:pPr>
        <w:spacing w:after="240"/>
        <w:rPr>
          <w:bdr w:val="nil"/>
        </w:rPr>
      </w:pPr>
    </w:p>
    <w:p w:rsidR="00C41060" w:rsidRDefault="00C41060" w:rsidP="00C41060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  <w:bookmarkStart w:id="3" w:name="_Toc20061714"/>
      <w:r>
        <w:rPr>
          <w:bdr w:val="nil"/>
        </w:rPr>
        <w:lastRenderedPageBreak/>
        <w:t>Učební plán</w:t>
      </w:r>
      <w:bookmarkEnd w:id="3"/>
      <w:r>
        <w:rPr>
          <w:bdr w:val="nil"/>
        </w:rPr>
        <w:t> </w:t>
      </w:r>
      <w:proofErr w:type="spellStart"/>
      <w:r>
        <w:rPr>
          <w:bdr w:val="nil"/>
        </w:rPr>
        <w:t>Ortoticko</w:t>
      </w:r>
      <w:proofErr w:type="spellEnd"/>
      <w:r>
        <w:rPr>
          <w:bdr w:val="nil"/>
        </w:rPr>
        <w:t>-protetický technik – zkrácené studium</w:t>
      </w:r>
    </w:p>
    <w:p w:rsidR="00C41060" w:rsidRDefault="00C41060" w:rsidP="00C41060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</w:p>
    <w:p w:rsidR="00C41060" w:rsidRDefault="00C41060" w:rsidP="00C41060">
      <w:pPr>
        <w:pStyle w:val="Nadpis2"/>
        <w:numPr>
          <w:ilvl w:val="0"/>
          <w:numId w:val="0"/>
        </w:numPr>
        <w:spacing w:before="0" w:beforeAutospacing="0" w:after="0" w:afterAutospacing="0"/>
        <w:ind w:left="576" w:hanging="576"/>
        <w:rPr>
          <w:bdr w:val="nil"/>
        </w:rPr>
      </w:pPr>
      <w:bookmarkStart w:id="4" w:name="_Toc20061715"/>
      <w:r>
        <w:rPr>
          <w:bdr w:val="nil"/>
        </w:rPr>
        <w:t xml:space="preserve">Týdenní </w:t>
      </w:r>
      <w:proofErr w:type="gramStart"/>
      <w:r>
        <w:rPr>
          <w:bdr w:val="nil"/>
        </w:rPr>
        <w:t>dotace - přehled</w:t>
      </w:r>
      <w:bookmarkEnd w:id="4"/>
      <w:proofErr w:type="gramEnd"/>
      <w:r>
        <w:rPr>
          <w:bdr w:val="nil"/>
        </w:rPr>
        <w:t> </w:t>
      </w:r>
    </w:p>
    <w:tbl>
      <w:tblPr>
        <w:tblStyle w:val="TabulkaUP"/>
        <w:tblW w:w="4638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3271"/>
        <w:gridCol w:w="1331"/>
        <w:gridCol w:w="1277"/>
      </w:tblGrid>
      <w:tr w:rsidR="00C41060" w:rsidTr="0083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C41060" w:rsidTr="0083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41060" w:rsidRDefault="00C41060" w:rsidP="0083551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41060" w:rsidRDefault="00C41060" w:rsidP="0083551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41060" w:rsidRDefault="00C41060" w:rsidP="00835519"/>
        </w:tc>
      </w:tr>
      <w:tr w:rsidR="00C41060" w:rsidTr="0083551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2 (2+0)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s klientem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1(1+0)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2(2+0)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kineziologie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1(1+0)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Vybrané klinické obory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4(4+0)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kreslení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3(3+0)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Materiály a technologie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3(3+0)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biomechaniky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3(3+0)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Učební praxe (stavba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ortoticko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-protetických pomůcek)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7(7+0)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Ortotika</w:t>
            </w:r>
            <w:proofErr w:type="spellEnd"/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4(4+0)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C41060" w:rsidTr="0083551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1060" w:rsidRDefault="00C41060" w:rsidP="0083551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Protetika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Pr="005F11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 w:rsidRPr="005F1160">
              <w:rPr>
                <w:rFonts w:ascii="Calibri" w:eastAsia="Calibri" w:hAnsi="Calibri" w:cs="Calibri"/>
                <w:bdr w:val="nil"/>
              </w:rPr>
              <w:t>4(4+0)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C41060" w:rsidTr="0083551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7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76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060" w:rsidRDefault="00C41060" w:rsidP="0083551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</w:tr>
    </w:tbl>
    <w:p w:rsidR="00C41060" w:rsidRDefault="00C41060" w:rsidP="00C41060">
      <w:pPr>
        <w:rPr>
          <w:bdr w:val="nil"/>
        </w:rPr>
      </w:pPr>
      <w:r>
        <w:rPr>
          <w:bdr w:val="nil"/>
        </w:rPr>
        <w:t> </w:t>
      </w:r>
    </w:p>
    <w:p w:rsidR="00C41060" w:rsidRDefault="00C41060" w:rsidP="00C41060">
      <w:pPr>
        <w:pStyle w:val="Nadpis3"/>
        <w:numPr>
          <w:ilvl w:val="0"/>
          <w:numId w:val="0"/>
        </w:numPr>
        <w:spacing w:before="281" w:after="281"/>
        <w:rPr>
          <w:sz w:val="22"/>
          <w:szCs w:val="22"/>
          <w:bdr w:val="nil"/>
        </w:rPr>
      </w:pPr>
      <w:bookmarkStart w:id="5" w:name="_Toc20061716"/>
    </w:p>
    <w:p w:rsidR="00C41060" w:rsidRPr="00767742" w:rsidRDefault="00C41060" w:rsidP="00C41060">
      <w:pPr>
        <w:pStyle w:val="Nadpis3"/>
        <w:numPr>
          <w:ilvl w:val="0"/>
          <w:numId w:val="0"/>
        </w:numPr>
        <w:spacing w:before="281" w:after="281"/>
        <w:rPr>
          <w:sz w:val="22"/>
          <w:szCs w:val="22"/>
          <w:bdr w:val="nil"/>
        </w:rPr>
      </w:pPr>
      <w:r w:rsidRPr="00767742">
        <w:rPr>
          <w:sz w:val="22"/>
          <w:szCs w:val="22"/>
          <w:bdr w:val="nil"/>
        </w:rPr>
        <w:t>Poznámky k učebnímu plánu</w:t>
      </w:r>
      <w:bookmarkEnd w:id="5"/>
      <w:r w:rsidRPr="00767742">
        <w:rPr>
          <w:sz w:val="22"/>
          <w:szCs w:val="22"/>
          <w:bdr w:val="nil"/>
        </w:rPr>
        <w:t> </w:t>
      </w:r>
    </w:p>
    <w:p w:rsidR="00C41060" w:rsidRPr="00767742" w:rsidRDefault="00C41060" w:rsidP="00C41060">
      <w:pPr>
        <w:numPr>
          <w:ilvl w:val="0"/>
          <w:numId w:val="3"/>
        </w:numPr>
        <w:rPr>
          <w:szCs w:val="22"/>
          <w:bdr w:val="nil"/>
        </w:rPr>
      </w:pPr>
      <w:r w:rsidRPr="00767742">
        <w:rPr>
          <w:color w:val="000000"/>
          <w:szCs w:val="22"/>
          <w:bdr w:val="nil"/>
          <w:shd w:val="clear" w:color="auto" w:fill="FFFFFF"/>
        </w:rPr>
        <w:t>Dělení hodin ve vyučovacích předmětech je v pravomoci ředitele školy, který musí postupovat v souladu s předpisy stanovenými MŠMT ČR.  </w:t>
      </w:r>
    </w:p>
    <w:p w:rsidR="00C41060" w:rsidRPr="00767742" w:rsidRDefault="00C41060" w:rsidP="00C41060">
      <w:pPr>
        <w:numPr>
          <w:ilvl w:val="0"/>
          <w:numId w:val="3"/>
        </w:numPr>
        <w:rPr>
          <w:szCs w:val="22"/>
          <w:bdr w:val="nil"/>
        </w:rPr>
      </w:pPr>
      <w:r w:rsidRPr="00767742">
        <w:rPr>
          <w:color w:val="000000"/>
          <w:szCs w:val="22"/>
          <w:bdr w:val="nil"/>
          <w:shd w:val="clear" w:color="auto" w:fill="FFFFFF"/>
        </w:rPr>
        <w:t>Maturitní zkoušky se připravují a organizují podle platné legislativy.  </w:t>
      </w:r>
    </w:p>
    <w:p w:rsidR="00C41060" w:rsidRPr="00767742" w:rsidRDefault="00C41060" w:rsidP="00C41060">
      <w:pPr>
        <w:numPr>
          <w:ilvl w:val="0"/>
          <w:numId w:val="3"/>
        </w:numPr>
        <w:rPr>
          <w:szCs w:val="22"/>
          <w:bdr w:val="nil"/>
        </w:rPr>
      </w:pPr>
      <w:r w:rsidRPr="00767742">
        <w:rPr>
          <w:color w:val="000000"/>
          <w:szCs w:val="22"/>
          <w:bdr w:val="nil"/>
          <w:shd w:val="clear" w:color="auto" w:fill="FFFFFF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 </w:t>
      </w:r>
    </w:p>
    <w:p w:rsidR="00C41060" w:rsidRPr="00767742" w:rsidRDefault="00C41060" w:rsidP="00C41060">
      <w:pPr>
        <w:numPr>
          <w:ilvl w:val="0"/>
          <w:numId w:val="3"/>
        </w:numPr>
        <w:rPr>
          <w:szCs w:val="22"/>
          <w:bdr w:val="nil"/>
        </w:rPr>
      </w:pPr>
      <w:r w:rsidRPr="00767742">
        <w:rPr>
          <w:color w:val="000000"/>
          <w:szCs w:val="22"/>
          <w:bdr w:val="nil"/>
          <w:shd w:val="clear" w:color="auto" w:fill="FFFFFF"/>
        </w:rPr>
        <w:t xml:space="preserve">Délka školního roku je v </w:t>
      </w:r>
      <w:r w:rsidRPr="00767742">
        <w:rPr>
          <w:szCs w:val="22"/>
          <w:bdr w:val="nil"/>
          <w:shd w:val="clear" w:color="auto" w:fill="FFFFFF"/>
        </w:rPr>
        <w:t>prvním ročníku 37 týdnů</w:t>
      </w:r>
      <w:r w:rsidRPr="00767742">
        <w:rPr>
          <w:color w:val="000000"/>
          <w:szCs w:val="22"/>
          <w:bdr w:val="nil"/>
          <w:shd w:val="clear" w:color="auto" w:fill="FFFFFF"/>
        </w:rPr>
        <w:t>. Vyučovací doba se využije podle níže uvedené tabulky.  </w:t>
      </w:r>
    </w:p>
    <w:p w:rsidR="00C41060" w:rsidRPr="00767742" w:rsidRDefault="00C41060" w:rsidP="00C41060">
      <w:pPr>
        <w:numPr>
          <w:ilvl w:val="0"/>
          <w:numId w:val="3"/>
        </w:numPr>
        <w:rPr>
          <w:szCs w:val="22"/>
          <w:bdr w:val="nil"/>
        </w:rPr>
      </w:pPr>
      <w:r w:rsidRPr="00767742">
        <w:rPr>
          <w:color w:val="000000"/>
          <w:szCs w:val="22"/>
          <w:bdr w:val="nil"/>
          <w:shd w:val="clear" w:color="auto" w:fill="FFFFFF"/>
        </w:rPr>
        <w:t xml:space="preserve">Předmět Učební praxe (stavba </w:t>
      </w:r>
      <w:proofErr w:type="spellStart"/>
      <w:r w:rsidRPr="00767742">
        <w:rPr>
          <w:color w:val="000000"/>
          <w:szCs w:val="22"/>
          <w:bdr w:val="nil"/>
          <w:shd w:val="clear" w:color="auto" w:fill="FFFFFF"/>
        </w:rPr>
        <w:t>ortoticko</w:t>
      </w:r>
      <w:proofErr w:type="spellEnd"/>
      <w:r w:rsidRPr="00767742">
        <w:rPr>
          <w:color w:val="000000"/>
          <w:szCs w:val="22"/>
          <w:bdr w:val="nil"/>
          <w:shd w:val="clear" w:color="auto" w:fill="FFFFFF"/>
        </w:rPr>
        <w:t>-protetických pomůcek) probíhá na odborných pracovištích sociálních partnerů školy. </w:t>
      </w:r>
    </w:p>
    <w:p w:rsidR="00C41060" w:rsidRPr="00767742" w:rsidRDefault="00C41060" w:rsidP="00C41060">
      <w:pPr>
        <w:numPr>
          <w:ilvl w:val="0"/>
          <w:numId w:val="3"/>
        </w:numPr>
        <w:rPr>
          <w:szCs w:val="22"/>
          <w:bdr w:val="nil"/>
        </w:rPr>
      </w:pPr>
      <w:r w:rsidRPr="00767742">
        <w:rPr>
          <w:color w:val="000000"/>
          <w:szCs w:val="22"/>
          <w:bdr w:val="nil"/>
          <w:shd w:val="clear" w:color="auto" w:fill="FFFFFF"/>
        </w:rPr>
        <w:lastRenderedPageBreak/>
        <w:t xml:space="preserve">Minimální týdenní počet vyučovacích hodin v 1. ročníku je </w:t>
      </w:r>
      <w:r w:rsidRPr="00767742">
        <w:rPr>
          <w:szCs w:val="22"/>
          <w:bdr w:val="nil"/>
          <w:shd w:val="clear" w:color="auto" w:fill="FFFFFF"/>
        </w:rPr>
        <w:t>32, maximální 35 hodin</w:t>
      </w:r>
      <w:r w:rsidRPr="00767742">
        <w:rPr>
          <w:color w:val="FF0000"/>
          <w:szCs w:val="22"/>
          <w:bdr w:val="nil"/>
          <w:shd w:val="clear" w:color="auto" w:fill="FFFFFF"/>
        </w:rPr>
        <w:t xml:space="preserve"> </w:t>
      </w:r>
      <w:r w:rsidRPr="00767742">
        <w:rPr>
          <w:color w:val="000000"/>
          <w:szCs w:val="22"/>
          <w:bdr w:val="nil"/>
          <w:shd w:val="clear" w:color="auto" w:fill="FFFFFF"/>
        </w:rPr>
        <w:t>(v souladu se školským zákonem). </w:t>
      </w:r>
    </w:p>
    <w:p w:rsidR="00C41060" w:rsidRPr="00767742" w:rsidRDefault="00C41060" w:rsidP="00C41060">
      <w:pPr>
        <w:numPr>
          <w:ilvl w:val="0"/>
          <w:numId w:val="3"/>
        </w:numPr>
        <w:rPr>
          <w:szCs w:val="22"/>
          <w:bdr w:val="nil"/>
        </w:rPr>
      </w:pPr>
      <w:r w:rsidRPr="00767742">
        <w:rPr>
          <w:szCs w:val="22"/>
          <w:bdr w:val="nil"/>
        </w:rPr>
        <w:t xml:space="preserve">Odborná praxe probíhá v 1. ročníku ve smluvních </w:t>
      </w:r>
      <w:proofErr w:type="gramStart"/>
      <w:r w:rsidRPr="00767742">
        <w:rPr>
          <w:szCs w:val="22"/>
          <w:bdr w:val="nil"/>
        </w:rPr>
        <w:t>organizacích  jako</w:t>
      </w:r>
      <w:proofErr w:type="gramEnd"/>
      <w:r w:rsidRPr="00767742">
        <w:rPr>
          <w:szCs w:val="22"/>
          <w:bdr w:val="nil"/>
        </w:rPr>
        <w:t xml:space="preserve"> souvislá odborná praxe v rozsahu 4 týdnů.  </w:t>
      </w:r>
    </w:p>
    <w:p w:rsidR="00C41060" w:rsidRPr="00767742" w:rsidRDefault="00C41060" w:rsidP="00C41060">
      <w:pPr>
        <w:numPr>
          <w:ilvl w:val="0"/>
          <w:numId w:val="3"/>
        </w:numPr>
        <w:spacing w:after="240"/>
        <w:rPr>
          <w:szCs w:val="22"/>
          <w:bdr w:val="nil"/>
        </w:rPr>
      </w:pPr>
      <w:r w:rsidRPr="00767742">
        <w:rPr>
          <w:szCs w:val="22"/>
          <w:bdr w:val="nil"/>
        </w:rPr>
        <w:t xml:space="preserve">Odbornou praxi hodnotí učitel předmětu Učební praxe (stavba </w:t>
      </w:r>
      <w:proofErr w:type="spellStart"/>
      <w:r w:rsidRPr="00767742">
        <w:rPr>
          <w:szCs w:val="22"/>
          <w:bdr w:val="nil"/>
        </w:rPr>
        <w:t>ortoticko</w:t>
      </w:r>
      <w:proofErr w:type="spellEnd"/>
      <w:r w:rsidRPr="00767742">
        <w:rPr>
          <w:szCs w:val="22"/>
          <w:bdr w:val="nil"/>
        </w:rPr>
        <w:t xml:space="preserve">-protetických pomůcek); hodnocení Odborné praxe je součástí hodnocení předmětu Učební praxe (stavba </w:t>
      </w:r>
      <w:proofErr w:type="spellStart"/>
      <w:r w:rsidRPr="00767742">
        <w:rPr>
          <w:szCs w:val="22"/>
          <w:bdr w:val="nil"/>
        </w:rPr>
        <w:t>o</w:t>
      </w:r>
      <w:r>
        <w:rPr>
          <w:szCs w:val="22"/>
          <w:bdr w:val="nil"/>
        </w:rPr>
        <w:t>rtoticko</w:t>
      </w:r>
      <w:proofErr w:type="spellEnd"/>
      <w:r>
        <w:rPr>
          <w:szCs w:val="22"/>
          <w:bdr w:val="nil"/>
        </w:rPr>
        <w:t>-protetických pomůcek).</w:t>
      </w:r>
    </w:p>
    <w:p w:rsidR="00C41060" w:rsidRPr="00D03D36" w:rsidRDefault="00C41060" w:rsidP="00C41060">
      <w:pPr>
        <w:spacing w:after="240"/>
        <w:rPr>
          <w:bdr w:val="nil"/>
        </w:rPr>
      </w:pPr>
    </w:p>
    <w:sectPr w:rsidR="00C41060" w:rsidRPr="00D03D36" w:rsidSect="00124DB4">
      <w:pgSz w:w="11906" w:h="16838"/>
      <w:pgMar w:top="1325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CF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C4AD1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7F"/>
    <w:rsid w:val="000003E9"/>
    <w:rsid w:val="00056DC1"/>
    <w:rsid w:val="00124DB4"/>
    <w:rsid w:val="0028557F"/>
    <w:rsid w:val="004E5EB0"/>
    <w:rsid w:val="00540458"/>
    <w:rsid w:val="007869B0"/>
    <w:rsid w:val="00C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2FDD"/>
  <w15:chartTrackingRefBased/>
  <w15:docId w15:val="{1FFAEE13-C35E-4A82-8775-E40CAE5F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3E9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003E9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003E9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003E9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0003E9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03E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03E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03E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03E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03E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03E9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03E9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003E9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003E9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03E9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03E9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03E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0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03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0003E9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0003E9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86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9B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1076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Lucie</dc:creator>
  <cp:keywords/>
  <dc:description/>
  <cp:lastModifiedBy>Tereza Žůrková</cp:lastModifiedBy>
  <cp:revision>9</cp:revision>
  <cp:lastPrinted>2020-09-23T11:19:00Z</cp:lastPrinted>
  <dcterms:created xsi:type="dcterms:W3CDTF">2019-11-04T08:49:00Z</dcterms:created>
  <dcterms:modified xsi:type="dcterms:W3CDTF">2020-11-30T09:01:00Z</dcterms:modified>
</cp:coreProperties>
</file>