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01" w:rsidRDefault="00B10101" w:rsidP="00B10101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B10101" w:rsidRDefault="00B10101" w:rsidP="00B10101">
      <w:pPr>
        <w:pStyle w:val="Nadpis2"/>
        <w:spacing w:before="299" w:after="299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814"/>
        <w:gridCol w:w="657"/>
        <w:gridCol w:w="657"/>
        <w:gridCol w:w="657"/>
        <w:gridCol w:w="657"/>
        <w:gridCol w:w="1954"/>
      </w:tblGrid>
      <w:tr w:rsidR="00B10101" w:rsidTr="00FC7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B10101" w:rsidTr="00FC7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B10101" w:rsidRDefault="00B10101" w:rsidP="00FC7AC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B10101" w:rsidRDefault="00B10101" w:rsidP="00FC7AC1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B10101" w:rsidRDefault="00B10101" w:rsidP="00FC7AC1"/>
        </w:tc>
      </w:tr>
      <w:tr w:rsidR="00B10101" w:rsidTr="00FC7AC1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B10101" w:rsidTr="00FC7AC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B10101" w:rsidTr="00FC7AC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B10101" w:rsidTr="00FC7AC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B10101" w:rsidTr="00FC7AC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B10101" w:rsidTr="00FC7AC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Pedagogika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Dramatická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politika a sociální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Pečovatelství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zabezpečení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Aktivizační a volnočasová činnost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řízení sociálních služeb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B10101" w:rsidTr="00FC7AC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Pedagogicko-psychologická cvičení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10101" w:rsidTr="00FC7AC1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102+30</w:t>
            </w:r>
          </w:p>
        </w:tc>
      </w:tr>
    </w:tbl>
    <w:p w:rsidR="00B10101" w:rsidRDefault="00B10101" w:rsidP="00B10101">
      <w:pPr>
        <w:rPr>
          <w:bdr w:val="nil"/>
        </w:rPr>
      </w:pPr>
      <w:r>
        <w:rPr>
          <w:bdr w:val="nil"/>
        </w:rPr>
        <w:t>   </w:t>
      </w:r>
    </w:p>
    <w:p w:rsidR="00B10101" w:rsidRDefault="00B10101" w:rsidP="00B10101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B10101" w:rsidRDefault="00B10101" w:rsidP="00B10101">
      <w:pPr>
        <w:numPr>
          <w:ilvl w:val="0"/>
          <w:numId w:val="2"/>
        </w:numPr>
        <w:spacing w:before="240"/>
        <w:rPr>
          <w:bdr w:val="nil"/>
        </w:rPr>
      </w:pPr>
      <w:r>
        <w:rPr>
          <w:bdr w:val="nil"/>
        </w:rPr>
        <w:t>Cizí jazyk I – anglický jazyk </w:t>
      </w:r>
    </w:p>
    <w:p w:rsidR="00B10101" w:rsidRDefault="00B10101" w:rsidP="00B1010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Dělení hodin ve vyučovacích předmětech je v pravomoci ředitele školy, který musí postupovat v souladu s předpisy stanovenými MŠMT ČR. </w:t>
      </w:r>
    </w:p>
    <w:p w:rsidR="00B10101" w:rsidRDefault="00B10101" w:rsidP="00B1010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Při organizování sportovního výcvikového kurzu postupuje vedení školy podle platných metodických pokynů MŠMT ČR. </w:t>
      </w:r>
    </w:p>
    <w:p w:rsidR="00B10101" w:rsidRDefault="00B10101" w:rsidP="00B1010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Maturitní zkoušky se připravují a organizují podle platné legislativy. </w:t>
      </w:r>
    </w:p>
    <w:p w:rsidR="00B10101" w:rsidRDefault="00B10101" w:rsidP="00B1010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B10101" w:rsidRDefault="00B10101" w:rsidP="00B1010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Délka školního roku je v prvním až třetím ročníku čtyřicet týdnů. Vyučovací doba se využije podle níže uvedené tabulky. </w:t>
      </w:r>
    </w:p>
    <w:p w:rsidR="00B10101" w:rsidRDefault="00B10101" w:rsidP="00B1010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Předmět Učební praxe probíhá v zařízeních, které poskytují sociální službu. Rozsah učební praxe je stanoven na 6 hod./týdně.  </w:t>
      </w:r>
    </w:p>
    <w:p w:rsidR="00B10101" w:rsidRDefault="00B10101" w:rsidP="00B1010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Odbornou praxi hodnot</w:t>
      </w:r>
      <w:r>
        <w:rPr>
          <w:bdr w:val="nil"/>
        </w:rPr>
        <w:t xml:space="preserve">í učitel praktického vyučování; </w:t>
      </w:r>
      <w:r>
        <w:rPr>
          <w:bdr w:val="nil"/>
        </w:rPr>
        <w:t>tj. vyuču</w:t>
      </w:r>
      <w:r>
        <w:rPr>
          <w:bdr w:val="nil"/>
        </w:rPr>
        <w:t>jící předmětu Sociální politika a</w:t>
      </w:r>
      <w:r>
        <w:rPr>
          <w:bdr w:val="nil"/>
        </w:rPr>
        <w:t xml:space="preserve"> sociální služby</w:t>
      </w:r>
      <w:r>
        <w:rPr>
          <w:bdr w:val="nil"/>
        </w:rPr>
        <w:t xml:space="preserve"> (3. ročník)</w:t>
      </w:r>
      <w:r>
        <w:rPr>
          <w:bdr w:val="nil"/>
        </w:rPr>
        <w:t xml:space="preserve"> a Učební </w:t>
      </w:r>
      <w:r>
        <w:rPr>
          <w:bdr w:val="nil"/>
        </w:rPr>
        <w:t>praxe (2. ročník)</w:t>
      </w:r>
      <w:bookmarkStart w:id="3" w:name="_GoBack"/>
      <w:bookmarkEnd w:id="3"/>
      <w:r>
        <w:rPr>
          <w:bdr w:val="nil"/>
        </w:rPr>
        <w:t>; klasifikace probíhá v souladu s  </w:t>
      </w:r>
      <w:r>
        <w:rPr>
          <w:rFonts w:ascii="Calibri" w:eastAsia="Calibri" w:hAnsi="Calibri" w:cs="Calibri"/>
          <w:szCs w:val="22"/>
          <w:bdr w:val="nil"/>
        </w:rPr>
        <w:t>Pravidly pro hodnocení vý</w:t>
      </w:r>
      <w:r>
        <w:rPr>
          <w:rFonts w:ascii="Calibri" w:eastAsia="Calibri" w:hAnsi="Calibri" w:cs="Calibri"/>
          <w:szCs w:val="22"/>
          <w:bdr w:val="nil"/>
        </w:rPr>
        <w:t>sledků vzdělávání žáka AHOL SOŠ</w:t>
      </w:r>
      <w:r>
        <w:rPr>
          <w:bdr w:val="nil"/>
        </w:rPr>
        <w:t xml:space="preserve">. </w:t>
      </w:r>
      <w:proofErr w:type="gramStart"/>
      <w:r>
        <w:rPr>
          <w:bdr w:val="nil"/>
        </w:rPr>
        <w:t>Hodnocení</w:t>
      </w:r>
      <w:proofErr w:type="gramEnd"/>
      <w:r>
        <w:rPr>
          <w:bdr w:val="nil"/>
        </w:rPr>
        <w:t xml:space="preserve"> odborné praxe je součástí klasifikace předmětu Učební praxe (2. ročník) a Sociální politika, sociální služby </w:t>
      </w:r>
      <w:r>
        <w:rPr>
          <w:bdr w:val="nil"/>
        </w:rPr>
        <w:t xml:space="preserve"> </w:t>
      </w:r>
      <w:r>
        <w:rPr>
          <w:bdr w:val="nil"/>
        </w:rPr>
        <w:t>(3.ročník). Odborná praxe je organizovaná jako souvislá v délce 3 týdnů</w:t>
      </w:r>
      <w:r>
        <w:rPr>
          <w:bdr w:val="nil"/>
        </w:rPr>
        <w:t xml:space="preserve"> ve druhém a třetím ročníku</w:t>
      </w:r>
      <w:r>
        <w:rPr>
          <w:bdr w:val="nil"/>
        </w:rPr>
        <w:t>. </w:t>
      </w:r>
    </w:p>
    <w:p w:rsidR="00B10101" w:rsidRDefault="00B10101" w:rsidP="00B10101">
      <w:pPr>
        <w:numPr>
          <w:ilvl w:val="0"/>
          <w:numId w:val="2"/>
        </w:numPr>
        <w:spacing w:after="240"/>
        <w:rPr>
          <w:bdr w:val="nil"/>
        </w:rPr>
      </w:pPr>
      <w:r>
        <w:rPr>
          <w:bdr w:val="nil"/>
        </w:rPr>
        <w:t>Minimální počet vyučovacích hodin za studium je 128, maximální 140. Minimální týdenní počet vyučovacích hodin v ročnících je 30, maximální 35 hodin (v souladu se školským zákonem). </w:t>
      </w:r>
    </w:p>
    <w:p w:rsidR="00CB6C81" w:rsidRDefault="00CB6C81"/>
    <w:p w:rsidR="00B10101" w:rsidRDefault="00B10101" w:rsidP="00B10101">
      <w:pPr>
        <w:pStyle w:val="Nadpis2"/>
        <w:spacing w:before="299" w:after="299"/>
        <w:rPr>
          <w:bdr w:val="nil"/>
        </w:rPr>
      </w:pPr>
      <w:bookmarkStart w:id="4" w:name="_Toc256000030"/>
      <w:r>
        <w:rPr>
          <w:bdr w:val="nil"/>
        </w:rPr>
        <w:lastRenderedPageBreak/>
        <w:t>Přehled využití týdnů</w:t>
      </w:r>
      <w:bookmarkEnd w:id="4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B10101" w:rsidTr="00FC7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zkoušky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</w:tr>
      <w:tr w:rsidR="00B10101" w:rsidTr="00FC7AC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01" w:rsidRDefault="00B10101" w:rsidP="00FC7AC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B10101" w:rsidRDefault="00B10101"/>
    <w:sectPr w:rsidR="00B1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E2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1"/>
    <w:rsid w:val="00B10101"/>
    <w:rsid w:val="00CB6C81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F358"/>
  <w15:chartTrackingRefBased/>
  <w15:docId w15:val="{7E0928DA-01E2-46C0-9CC7-5A236C0B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10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1010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1010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1010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B1010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10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010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010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010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010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0101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010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010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1010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101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0101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010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01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01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B1010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3</cp:revision>
  <dcterms:created xsi:type="dcterms:W3CDTF">2023-10-17T13:18:00Z</dcterms:created>
  <dcterms:modified xsi:type="dcterms:W3CDTF">2023-10-17T13:21:00Z</dcterms:modified>
</cp:coreProperties>
</file>